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8F" w:rsidRPr="009B128F" w:rsidRDefault="009B128F" w:rsidP="009B128F">
      <w:pPr>
        <w:jc w:val="center"/>
        <w:outlineLvl w:val="1"/>
        <w:rPr>
          <w:rFonts w:ascii="Times New Roman" w:hAnsi="Times New Roman"/>
          <w:b/>
          <w:bCs/>
          <w:sz w:val="36"/>
          <w:szCs w:val="36"/>
        </w:rPr>
      </w:pPr>
      <w:bookmarkStart w:id="0" w:name="_GoBack"/>
      <w:bookmarkEnd w:id="0"/>
      <w:r w:rsidRPr="009B128F">
        <w:rPr>
          <w:rFonts w:ascii="Times New Roman" w:hAnsi="Times New Roman"/>
          <w:b/>
          <w:bCs/>
          <w:sz w:val="36"/>
          <w:szCs w:val="36"/>
          <w:u w:val="single"/>
        </w:rPr>
        <w:t>ARCHITECTURAL SERVICES WANTED</w:t>
      </w:r>
    </w:p>
    <w:p w:rsidR="009B128F" w:rsidRPr="009B128F" w:rsidRDefault="009B128F" w:rsidP="009B128F">
      <w:pPr>
        <w:rPr>
          <w:rFonts w:ascii="Times New Roman" w:hAnsi="Times New Roman"/>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980"/>
      </w:tblGrid>
      <w:tr w:rsidR="009B128F" w:rsidRPr="009B128F" w:rsidTr="009B128F">
        <w:trPr>
          <w:tblCellSpacing w:w="15" w:type="dxa"/>
          <w:jc w:val="center"/>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 xml:space="preserve">Applications for Architectural Services for the following projects will be accepted until </w:t>
            </w:r>
            <w:r w:rsidRPr="009B128F">
              <w:rPr>
                <w:rFonts w:ascii="Times New Roman" w:hAnsi="Times New Roman"/>
                <w:b/>
                <w:bCs/>
                <w:szCs w:val="24"/>
              </w:rPr>
              <w:t xml:space="preserve">2:00 p.m., </w:t>
            </w:r>
            <w:r w:rsidRPr="009B128F">
              <w:rPr>
                <w:rFonts w:ascii="Times New Roman" w:hAnsi="Times New Roman"/>
                <w:b/>
                <w:bCs/>
                <w:szCs w:val="24"/>
                <w:u w:val="single"/>
              </w:rPr>
              <w:t>Thursday, March 31, 2016</w:t>
            </w:r>
            <w:r w:rsidRPr="009B128F">
              <w:rPr>
                <w:rFonts w:ascii="Times New Roman" w:hAnsi="Times New Roman"/>
                <w:b/>
                <w:bCs/>
                <w:szCs w:val="24"/>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9B128F">
                <w:rPr>
                  <w:rFonts w:ascii="Times New Roman" w:hAnsi="Times New Roman"/>
                  <w:b/>
                  <w:bCs/>
                  <w:color w:val="0000FF"/>
                  <w:szCs w:val="24"/>
                  <w:u w:val="single"/>
                </w:rPr>
                <w:t>http://www.doa.la.gov/Pages/ofpc/Index.aspx</w:t>
              </w:r>
            </w:hyperlink>
            <w:r w:rsidRPr="009B128F">
              <w:rPr>
                <w:rFonts w:ascii="Times New Roman" w:hAnsi="Times New Roman"/>
                <w:b/>
                <w:bCs/>
                <w:szCs w:val="24"/>
              </w:rPr>
              <w:t xml:space="preserve">. Do not attach any additional pages to this application. </w:t>
            </w:r>
            <w:r w:rsidRPr="009B128F">
              <w:rPr>
                <w:rFonts w:ascii="Times New Roman" w:hAnsi="Times New Roman"/>
                <w:b/>
                <w:bCs/>
                <w:szCs w:val="24"/>
                <w:u w:val="single"/>
              </w:rPr>
              <w:t>Applications with attachments in addition to the pre-numbered sheets or otherwise not following this format will be discarded.</w:t>
            </w:r>
            <w:r w:rsidRPr="009B128F">
              <w:rPr>
                <w:rFonts w:ascii="Times New Roman" w:hAnsi="Times New Roman"/>
                <w:b/>
                <w:bCs/>
                <w:szCs w:val="24"/>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r>
            <w:r w:rsidRPr="009B128F">
              <w:rPr>
                <w:rFonts w:ascii="Times New Roman" w:hAnsi="Times New Roman"/>
                <w:b/>
                <w:bCs/>
                <w:szCs w:val="24"/>
              </w:rPr>
              <w:t>1. Construction Industry Center, Louisiana State Licensing Board for Contractors, Baton Rouge, Louisiana, Project No. LSLBC-2016-001, Part N/A.</w:t>
            </w:r>
            <w:r w:rsidRPr="009B128F">
              <w:rPr>
                <w:rFonts w:ascii="Times New Roman" w:hAnsi="Times New Roman"/>
                <w:szCs w:val="24"/>
              </w:rPr>
              <w:br/>
              <w:t xml:space="preserve">This project consists of the construction of a new multi-story (approx.) 28,000 sf office building and associated site work for the Louisiana State Licensing Board for Contractors. The multi-purpose building will house offices, conference rooms with audio visual capabilities, and spaces for conducting licensing, testing, examinations, and administrative hearings of the agency. Also included will be spaces designated for educational, safety and technical training sessions conducted by the Louisiana Associated General Contractors, Inc., along with other construction industry professional organizations. The contract will be issued by the Louisiana State Licensing Board for Contractors. Drawings shall follow the format specified in the "Instructions to Designers for AutoCAD Drawings Submittal". The funds available for construction are approximately </w:t>
            </w:r>
            <w:r w:rsidRPr="009B128F">
              <w:rPr>
                <w:rFonts w:ascii="Times New Roman" w:hAnsi="Times New Roman"/>
                <w:b/>
                <w:bCs/>
                <w:szCs w:val="24"/>
              </w:rPr>
              <w:t>$5,600,000.00</w:t>
            </w:r>
            <w:r w:rsidRPr="009B128F">
              <w:rPr>
                <w:rFonts w:ascii="Times New Roman" w:hAnsi="Times New Roman"/>
                <w:szCs w:val="24"/>
              </w:rPr>
              <w:t xml:space="preserve"> with a fee of approximately </w:t>
            </w:r>
            <w:r w:rsidRPr="009B128F">
              <w:rPr>
                <w:rFonts w:ascii="Times New Roman" w:hAnsi="Times New Roman"/>
                <w:b/>
                <w:bCs/>
                <w:szCs w:val="24"/>
              </w:rPr>
              <w:t>$448,920.00</w:t>
            </w:r>
            <w:r w:rsidRPr="009B128F">
              <w:rPr>
                <w:rFonts w:ascii="Times New Roman" w:hAnsi="Times New Roman"/>
                <w:szCs w:val="24"/>
              </w:rPr>
              <w:t xml:space="preserve">. Contract design time is </w:t>
            </w:r>
            <w:r w:rsidRPr="009B128F">
              <w:rPr>
                <w:rFonts w:ascii="Times New Roman" w:hAnsi="Times New Roman"/>
                <w:b/>
                <w:bCs/>
                <w:szCs w:val="24"/>
              </w:rPr>
              <w:t>270</w:t>
            </w:r>
            <w:r w:rsidRPr="009B128F">
              <w:rPr>
                <w:rFonts w:ascii="Times New Roman" w:hAnsi="Times New Roman"/>
                <w:szCs w:val="24"/>
              </w:rPr>
              <w:t xml:space="preserve"> consecutive calendar days; including </w:t>
            </w:r>
            <w:r w:rsidRPr="009B128F">
              <w:rPr>
                <w:rFonts w:ascii="Times New Roman" w:hAnsi="Times New Roman"/>
                <w:b/>
                <w:bCs/>
                <w:szCs w:val="24"/>
              </w:rPr>
              <w:t>60</w:t>
            </w:r>
            <w:r w:rsidRPr="009B128F">
              <w:rPr>
                <w:rFonts w:ascii="Times New Roman" w:hAnsi="Times New Roman"/>
                <w:szCs w:val="24"/>
              </w:rPr>
              <w:t xml:space="preserve"> days review time. Thereafter, liquidated damages in the amount of </w:t>
            </w:r>
            <w:r w:rsidRPr="009B128F">
              <w:rPr>
                <w:rFonts w:ascii="Times New Roman" w:hAnsi="Times New Roman"/>
                <w:b/>
                <w:bCs/>
                <w:szCs w:val="24"/>
              </w:rPr>
              <w:t>$400.00</w:t>
            </w:r>
            <w:r w:rsidRPr="009B128F">
              <w:rPr>
                <w:rFonts w:ascii="Times New Roman" w:hAnsi="Times New Roman"/>
                <w:szCs w:val="24"/>
              </w:rPr>
              <w:t xml:space="preserve"> per day will be assessed. Further information is available from </w:t>
            </w:r>
            <w:r w:rsidRPr="009B128F">
              <w:rPr>
                <w:rFonts w:ascii="Times New Roman" w:hAnsi="Times New Roman"/>
                <w:b/>
                <w:bCs/>
                <w:szCs w:val="24"/>
              </w:rPr>
              <w:t>Michael McDuff - Louisiana State Licensing Board for Contractors, 2525 Quail Drive, Baton Rouge, Louisiana 70808, (225) 763-3983.</w:t>
            </w:r>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r>
            <w:r w:rsidRPr="009B128F">
              <w:rPr>
                <w:rFonts w:ascii="Times New Roman" w:hAnsi="Times New Roman"/>
                <w:b/>
                <w:bCs/>
                <w:szCs w:val="24"/>
              </w:rPr>
              <w:t>2. Roof Replacements, Various Campus Buildings, Northwestern State University - Main Campus, Fort Polk Campus &amp; Shreveport Campus, Natchitoches, Leesville &amp; Shreveport, Louisiana, Project No. 19-631-14-02, Part 01.</w:t>
            </w:r>
            <w:r w:rsidRPr="009B128F">
              <w:rPr>
                <w:rFonts w:ascii="Times New Roman" w:hAnsi="Times New Roman"/>
                <w:szCs w:val="24"/>
              </w:rPr>
              <w:br/>
              <w:t xml:space="preserve">This project consists of the removal of the existing roofing systems down to the existing decking system and the installation of State of Louisiana approved roofing systems as required for each of 12 individual buildings at the Main(9), Fort Polk(2), and Shreveport(1) Campuses of Northwestern State University. Roof types consist of shingles, modified bitumen, and metal.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B128F">
              <w:rPr>
                <w:rFonts w:ascii="Times New Roman" w:hAnsi="Times New Roman"/>
                <w:b/>
                <w:bCs/>
                <w:szCs w:val="24"/>
              </w:rPr>
              <w:t>$4,185,230.00</w:t>
            </w:r>
            <w:r w:rsidRPr="009B128F">
              <w:rPr>
                <w:rFonts w:ascii="Times New Roman" w:hAnsi="Times New Roman"/>
                <w:szCs w:val="24"/>
              </w:rPr>
              <w:t xml:space="preserve"> with a fee of approximately </w:t>
            </w:r>
            <w:r w:rsidRPr="009B128F">
              <w:rPr>
                <w:rFonts w:ascii="Times New Roman" w:hAnsi="Times New Roman"/>
                <w:b/>
                <w:bCs/>
                <w:szCs w:val="24"/>
              </w:rPr>
              <w:t>$291,185.00</w:t>
            </w:r>
            <w:r w:rsidRPr="009B128F">
              <w:rPr>
                <w:rFonts w:ascii="Times New Roman" w:hAnsi="Times New Roman"/>
                <w:szCs w:val="24"/>
              </w:rPr>
              <w:t xml:space="preserve">. Contract design time is </w:t>
            </w:r>
            <w:r w:rsidRPr="009B128F">
              <w:rPr>
                <w:rFonts w:ascii="Times New Roman" w:hAnsi="Times New Roman"/>
                <w:b/>
                <w:bCs/>
                <w:szCs w:val="24"/>
              </w:rPr>
              <w:t>365</w:t>
            </w:r>
            <w:r w:rsidRPr="009B128F">
              <w:rPr>
                <w:rFonts w:ascii="Times New Roman" w:hAnsi="Times New Roman"/>
                <w:szCs w:val="24"/>
              </w:rPr>
              <w:t xml:space="preserve"> consecutive calendar days; including </w:t>
            </w:r>
            <w:r w:rsidRPr="009B128F">
              <w:rPr>
                <w:rFonts w:ascii="Times New Roman" w:hAnsi="Times New Roman"/>
                <w:b/>
                <w:bCs/>
                <w:szCs w:val="24"/>
              </w:rPr>
              <w:t>90</w:t>
            </w:r>
            <w:r w:rsidRPr="009B128F">
              <w:rPr>
                <w:rFonts w:ascii="Times New Roman" w:hAnsi="Times New Roman"/>
                <w:szCs w:val="24"/>
              </w:rPr>
              <w:t xml:space="preserve"> days review time. Thereafter, liquidated damages in the amount of </w:t>
            </w:r>
            <w:r w:rsidRPr="009B128F">
              <w:rPr>
                <w:rFonts w:ascii="Times New Roman" w:hAnsi="Times New Roman"/>
                <w:b/>
                <w:bCs/>
                <w:szCs w:val="24"/>
              </w:rPr>
              <w:t>$300.00</w:t>
            </w:r>
            <w:r w:rsidRPr="009B128F">
              <w:rPr>
                <w:rFonts w:ascii="Times New Roman" w:hAnsi="Times New Roman"/>
                <w:szCs w:val="24"/>
              </w:rPr>
              <w:t xml:space="preserve"> per day will be assessed. Further information is available from </w:t>
            </w:r>
            <w:r w:rsidRPr="009B128F">
              <w:rPr>
                <w:rFonts w:ascii="Times New Roman" w:hAnsi="Times New Roman"/>
                <w:b/>
                <w:bCs/>
                <w:szCs w:val="24"/>
              </w:rPr>
              <w:t>Mr. Kevin Clark - Facility Planning and Control, P.O. Box 94095, Baton Rouge, Louisiana 70804-9095, (225) 342-0571.</w:t>
            </w:r>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r>
            <w:r w:rsidRPr="009B128F">
              <w:rPr>
                <w:rFonts w:ascii="Times New Roman" w:hAnsi="Times New Roman"/>
                <w:b/>
                <w:bCs/>
                <w:szCs w:val="24"/>
              </w:rPr>
              <w:t>3. Floy W. McElroy Education Center, Floy Ward McElroy Wildlife Management Area, Rayville, Louisiana, Project No. 16-513-12-06, Part 01.</w:t>
            </w:r>
            <w:r w:rsidRPr="009B128F">
              <w:rPr>
                <w:rFonts w:ascii="Times New Roman" w:hAnsi="Times New Roman"/>
                <w:szCs w:val="24"/>
              </w:rPr>
              <w:br/>
              <w:t xml:space="preserve">This project consists of the construction of a new (approx.) 3,900 sf Education Center. Approximately 2,700 sf will be conditioned, indoor spaces. These include a donor commemorative space, indoor classroom, wet </w:t>
            </w:r>
            <w:r w:rsidRPr="009B128F">
              <w:rPr>
                <w:rFonts w:ascii="Times New Roman" w:hAnsi="Times New Roman"/>
                <w:szCs w:val="24"/>
              </w:rPr>
              <w:lastRenderedPageBreak/>
              <w:t xml:space="preserve">laboratory, food preparation and serving area, offices, storage, and restrooms. There will also be two covered outdoor classrooms. Due to the rural location, the appearance of the building is to be rustic in nature with exposed structural elements. The building is to be slab on grade with low maintenance interior and exterior finishes, including masonry and cement/fiberboard siding, and standing seam metal roof. Conceptual sketches consisting of a floor plan and elevation views will be provided for further development, and the fee has been adjusted to reflect this.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B128F">
              <w:rPr>
                <w:rFonts w:ascii="Times New Roman" w:hAnsi="Times New Roman"/>
                <w:b/>
                <w:bCs/>
                <w:szCs w:val="24"/>
              </w:rPr>
              <w:t>$531,746.00</w:t>
            </w:r>
            <w:r w:rsidRPr="009B128F">
              <w:rPr>
                <w:rFonts w:ascii="Times New Roman" w:hAnsi="Times New Roman"/>
                <w:szCs w:val="24"/>
              </w:rPr>
              <w:t xml:space="preserve"> with a fee of approximately </w:t>
            </w:r>
            <w:r w:rsidRPr="009B128F">
              <w:rPr>
                <w:rFonts w:ascii="Times New Roman" w:hAnsi="Times New Roman"/>
                <w:b/>
                <w:bCs/>
                <w:szCs w:val="24"/>
              </w:rPr>
              <w:t>$46,040.00</w:t>
            </w:r>
            <w:r w:rsidRPr="009B128F">
              <w:rPr>
                <w:rFonts w:ascii="Times New Roman" w:hAnsi="Times New Roman"/>
                <w:szCs w:val="24"/>
              </w:rPr>
              <w:t xml:space="preserve">. Contract design time is </w:t>
            </w:r>
            <w:r w:rsidRPr="009B128F">
              <w:rPr>
                <w:rFonts w:ascii="Times New Roman" w:hAnsi="Times New Roman"/>
                <w:b/>
                <w:bCs/>
                <w:szCs w:val="24"/>
              </w:rPr>
              <w:t>120</w:t>
            </w:r>
            <w:r w:rsidRPr="009B128F">
              <w:rPr>
                <w:rFonts w:ascii="Times New Roman" w:hAnsi="Times New Roman"/>
                <w:szCs w:val="24"/>
              </w:rPr>
              <w:t xml:space="preserve"> consecutive calendar days; including </w:t>
            </w:r>
            <w:r w:rsidRPr="009B128F">
              <w:rPr>
                <w:rFonts w:ascii="Times New Roman" w:hAnsi="Times New Roman"/>
                <w:b/>
                <w:bCs/>
                <w:szCs w:val="24"/>
              </w:rPr>
              <w:t>40</w:t>
            </w:r>
            <w:r w:rsidRPr="009B128F">
              <w:rPr>
                <w:rFonts w:ascii="Times New Roman" w:hAnsi="Times New Roman"/>
                <w:szCs w:val="24"/>
              </w:rPr>
              <w:t xml:space="preserve"> days review time. Thereafter, liquidated damages in the amount of </w:t>
            </w:r>
            <w:r w:rsidRPr="009B128F">
              <w:rPr>
                <w:rFonts w:ascii="Times New Roman" w:hAnsi="Times New Roman"/>
                <w:b/>
                <w:bCs/>
                <w:szCs w:val="24"/>
              </w:rPr>
              <w:t>$100.00</w:t>
            </w:r>
            <w:r w:rsidRPr="009B128F">
              <w:rPr>
                <w:rFonts w:ascii="Times New Roman" w:hAnsi="Times New Roman"/>
                <w:szCs w:val="24"/>
              </w:rPr>
              <w:t xml:space="preserve"> per day will be assessed. Further information is available from </w:t>
            </w:r>
            <w:r w:rsidRPr="009B128F">
              <w:rPr>
                <w:rFonts w:ascii="Times New Roman" w:hAnsi="Times New Roman"/>
                <w:b/>
                <w:bCs/>
                <w:szCs w:val="24"/>
              </w:rPr>
              <w:t>Mr. Regis Bergeron - Facility Planning and Control, P.O. Box 94095, Baton Rouge, Louisiana 70804-9095.</w:t>
            </w:r>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r>
            <w:r w:rsidRPr="009B128F">
              <w:rPr>
                <w:rFonts w:ascii="Times New Roman" w:hAnsi="Times New Roman"/>
                <w:b/>
                <w:bCs/>
                <w:szCs w:val="24"/>
              </w:rPr>
              <w:t>4. Quonset Hut, Pointe Aux Chenes Wildlife Management Area, Montegut, Louisiana, Project No. G16-513C-09-ORM, Part 01.</w:t>
            </w:r>
            <w:r w:rsidRPr="009B128F">
              <w:rPr>
                <w:rFonts w:ascii="Times New Roman" w:hAnsi="Times New Roman"/>
                <w:szCs w:val="24"/>
              </w:rPr>
              <w:br/>
              <w:t xml:space="preserve">This project consists of a new prefabricated metal Quonset hut elevated above the BFE on wood pilings with a concrete platform, 2 concrete vehicular ramps, and concrete stairs. The structure will be utilized for boat storage and equipment maintenance. Funding for the project is provided by FEMA and their participation and oversight may be expected in all phases of the project. The designer shall prepare and submit all required drawings to Facility Planning and Control in AutoCAD and hard copy. Drawings shall follow the format specified in the "Instructions to Designers for AutoCAD Drawings Submittal". The funds available for construction are approximately </w:t>
            </w:r>
            <w:r w:rsidRPr="009B128F">
              <w:rPr>
                <w:rFonts w:ascii="Times New Roman" w:hAnsi="Times New Roman"/>
                <w:b/>
                <w:bCs/>
                <w:szCs w:val="24"/>
              </w:rPr>
              <w:t>$365,000.00</w:t>
            </w:r>
            <w:r w:rsidRPr="009B128F">
              <w:rPr>
                <w:rFonts w:ascii="Times New Roman" w:hAnsi="Times New Roman"/>
                <w:szCs w:val="24"/>
              </w:rPr>
              <w:t xml:space="preserve"> with a fee of approximately </w:t>
            </w:r>
            <w:r w:rsidRPr="009B128F">
              <w:rPr>
                <w:rFonts w:ascii="Times New Roman" w:hAnsi="Times New Roman"/>
                <w:b/>
                <w:bCs/>
                <w:szCs w:val="24"/>
              </w:rPr>
              <w:t>$36,274.00</w:t>
            </w:r>
            <w:r w:rsidRPr="009B128F">
              <w:rPr>
                <w:rFonts w:ascii="Times New Roman" w:hAnsi="Times New Roman"/>
                <w:szCs w:val="24"/>
              </w:rPr>
              <w:t xml:space="preserve">. Contract design time is </w:t>
            </w:r>
            <w:r w:rsidRPr="009B128F">
              <w:rPr>
                <w:rFonts w:ascii="Times New Roman" w:hAnsi="Times New Roman"/>
                <w:b/>
                <w:bCs/>
                <w:szCs w:val="24"/>
              </w:rPr>
              <w:t>150</w:t>
            </w:r>
            <w:r w:rsidRPr="009B128F">
              <w:rPr>
                <w:rFonts w:ascii="Times New Roman" w:hAnsi="Times New Roman"/>
                <w:szCs w:val="24"/>
              </w:rPr>
              <w:t xml:space="preserve"> consecutive calendar days; including </w:t>
            </w:r>
            <w:r w:rsidRPr="009B128F">
              <w:rPr>
                <w:rFonts w:ascii="Times New Roman" w:hAnsi="Times New Roman"/>
                <w:b/>
                <w:bCs/>
                <w:szCs w:val="24"/>
              </w:rPr>
              <w:t>45</w:t>
            </w:r>
            <w:r w:rsidRPr="009B128F">
              <w:rPr>
                <w:rFonts w:ascii="Times New Roman" w:hAnsi="Times New Roman"/>
                <w:szCs w:val="24"/>
              </w:rPr>
              <w:t xml:space="preserve"> days review time. Thereafter, liquidated damages in the amount of </w:t>
            </w:r>
            <w:r w:rsidRPr="009B128F">
              <w:rPr>
                <w:rFonts w:ascii="Times New Roman" w:hAnsi="Times New Roman"/>
                <w:b/>
                <w:bCs/>
                <w:szCs w:val="24"/>
              </w:rPr>
              <w:t>$75.00</w:t>
            </w:r>
            <w:r w:rsidRPr="009B128F">
              <w:rPr>
                <w:rFonts w:ascii="Times New Roman" w:hAnsi="Times New Roman"/>
                <w:szCs w:val="24"/>
              </w:rPr>
              <w:t xml:space="preserve"> per day will be assessed. Further information is available from </w:t>
            </w:r>
            <w:r w:rsidRPr="009B128F">
              <w:rPr>
                <w:rFonts w:ascii="Times New Roman" w:hAnsi="Times New Roman"/>
                <w:b/>
                <w:bCs/>
                <w:szCs w:val="24"/>
              </w:rPr>
              <w:t>Mr. Charles Funderburk - Facility Planning and Control, P.O. Box 94095, Baton Rouge, Louisiana 70804-9095.</w:t>
            </w:r>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r>
            <w:r w:rsidRPr="009B128F">
              <w:rPr>
                <w:rFonts w:ascii="Times New Roman" w:hAnsi="Times New Roman"/>
                <w:b/>
                <w:bCs/>
                <w:szCs w:val="24"/>
              </w:rPr>
              <w:t>GENERAL REQUIREMENTS APPLICABLE TO ALL PROJECTS:</w:t>
            </w:r>
            <w:r w:rsidRPr="009B128F">
              <w:rPr>
                <w:rFonts w:ascii="Times New Roman" w:hAnsi="Times New Roman"/>
                <w:szCs w:val="24"/>
              </w:rPr>
              <w:br/>
              <w:t xml:space="preserve">Applicants are advised that design time ends when the Documents are "complete, coordinated and </w:t>
            </w:r>
            <w:r w:rsidRPr="009B128F">
              <w:rPr>
                <w:rFonts w:ascii="Times New Roman" w:hAnsi="Times New Roman"/>
                <w:b/>
                <w:bCs/>
                <w:szCs w:val="24"/>
              </w:rPr>
              <w:t>ready for bid</w:t>
            </w:r>
            <w:r w:rsidRPr="009B128F">
              <w:rPr>
                <w:rFonts w:ascii="Times New Roman" w:hAnsi="Times New Roman"/>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9B128F">
              <w:rPr>
                <w:rFonts w:ascii="Times New Roman" w:hAnsi="Times New Roman"/>
                <w:szCs w:val="24"/>
              </w:rPr>
              <w:br/>
            </w:r>
            <w:r w:rsidRPr="009B128F">
              <w:rPr>
                <w:rFonts w:ascii="Times New Roman" w:hAnsi="Times New Roman"/>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9B128F">
              <w:rPr>
                <w:rFonts w:ascii="Times New Roman" w:hAnsi="Times New Roman"/>
                <w:szCs w:val="24"/>
              </w:rPr>
              <w:br/>
            </w:r>
            <w:r w:rsidRPr="009B128F">
              <w:rPr>
                <w:rFonts w:ascii="Times New Roman" w:hAnsi="Times New Roman"/>
                <w:b/>
                <w:bCs/>
                <w:szCs w:val="24"/>
              </w:rPr>
              <w:t>SCHEDULE</w:t>
            </w:r>
            <w:r w:rsidRPr="009B128F">
              <w:rPr>
                <w:rFonts w:ascii="Times New Roman" w:hAnsi="Times New Roman"/>
                <w:b/>
                <w:bCs/>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u w:val="single"/>
                    </w:rPr>
                    <w:t>Construction Cost</w:t>
                  </w:r>
                </w:p>
              </w:tc>
              <w:tc>
                <w:tcPr>
                  <w:tcW w:w="650" w:type="pct"/>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u w:val="single"/>
                    </w:rPr>
                    <w:t>Limit of Liability</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$0 to $1,000,000</w:t>
                  </w:r>
                </w:p>
              </w:tc>
              <w:tc>
                <w:tcPr>
                  <w:tcW w:w="0" w:type="auto"/>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$500,000</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$1,000,000 to $10,000,000</w:t>
                  </w:r>
                </w:p>
              </w:tc>
              <w:tc>
                <w:tcPr>
                  <w:tcW w:w="0" w:type="auto"/>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$1,000,000</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$10,000,000 to $20,000,000</w:t>
                  </w:r>
                </w:p>
              </w:tc>
              <w:tc>
                <w:tcPr>
                  <w:tcW w:w="0" w:type="auto"/>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$1,500,000</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$20,000,000 to $50,000,000</w:t>
                  </w:r>
                </w:p>
              </w:tc>
              <w:tc>
                <w:tcPr>
                  <w:tcW w:w="0" w:type="auto"/>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$3,000,000</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Over $50,000,000</w:t>
                  </w:r>
                </w:p>
              </w:tc>
              <w:tc>
                <w:tcPr>
                  <w:tcW w:w="0" w:type="auto"/>
                  <w:vAlign w:val="center"/>
                  <w:hideMark/>
                </w:tcPr>
                <w:p w:rsidR="009B128F" w:rsidRPr="009B128F" w:rsidRDefault="009B128F" w:rsidP="009B128F">
                  <w:pPr>
                    <w:rPr>
                      <w:rFonts w:ascii="Times New Roman" w:hAnsi="Times New Roman"/>
                      <w:szCs w:val="24"/>
                    </w:rPr>
                  </w:pPr>
                </w:p>
              </w:tc>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szCs w:val="24"/>
                    </w:rPr>
                    <w:t>To be determined</w:t>
                  </w:r>
                </w:p>
              </w:tc>
            </w:tr>
          </w:tbl>
          <w:p w:rsidR="009B128F" w:rsidRPr="009B128F" w:rsidRDefault="009B128F" w:rsidP="009B128F">
            <w:pPr>
              <w:rPr>
                <w:rFonts w:ascii="Times New Roman" w:hAnsi="Times New Roman"/>
                <w:szCs w:val="24"/>
              </w:rPr>
            </w:pPr>
            <w:r w:rsidRPr="009B128F">
              <w:rPr>
                <w:rFonts w:ascii="Times New Roman" w:hAnsi="Times New Roman"/>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9B128F">
              <w:rPr>
                <w:rFonts w:ascii="Times New Roman" w:hAnsi="Times New Roman"/>
                <w:szCs w:val="24"/>
              </w:rPr>
              <w:br/>
            </w:r>
            <w:r w:rsidRPr="009B128F">
              <w:rPr>
                <w:rFonts w:ascii="Times New Roman" w:hAnsi="Times New Roman"/>
                <w:szCs w:val="24"/>
              </w:rPr>
              <w:lastRenderedPageBreak/>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9B128F">
              <w:rPr>
                <w:rFonts w:ascii="Times New Roman" w:hAnsi="Times New Roman"/>
                <w:szCs w:val="24"/>
              </w:rPr>
              <w:br/>
            </w:r>
            <w:r w:rsidRPr="009B128F">
              <w:rPr>
                <w:rFonts w:ascii="Times New Roman" w:hAnsi="Times New Roman"/>
                <w:szCs w:val="24"/>
              </w:rPr>
              <w:br/>
              <w:t xml:space="preserve">Facility Planning and Control is a participant in the Small Entrepreneurship Program (the Hudson Initiative) and applicants are encouraged to consider participation. Information is available from the Office of Facility Planning and Control or on its website at </w:t>
            </w:r>
            <w:hyperlink r:id="rId5" w:tgtFrame="_blank" w:history="1">
              <w:r w:rsidRPr="009B128F">
                <w:rPr>
                  <w:rFonts w:ascii="Times New Roman" w:hAnsi="Times New Roman"/>
                  <w:color w:val="0000FF"/>
                  <w:szCs w:val="24"/>
                  <w:u w:val="single"/>
                </w:rPr>
                <w:t>www.doa.la.gov/Pages/ofpc/Index.aspx</w:t>
              </w:r>
            </w:hyperlink>
            <w:r w:rsidRPr="009B128F">
              <w:rPr>
                <w:rFonts w:ascii="Times New Roman" w:hAnsi="Times New Roman"/>
                <w:szCs w:val="24"/>
              </w:rPr>
              <w:t xml:space="preserve">. </w:t>
            </w:r>
            <w:r w:rsidRPr="009B128F">
              <w:rPr>
                <w:rFonts w:ascii="Times New Roman" w:hAnsi="Times New Roman"/>
                <w:szCs w:val="24"/>
              </w:rPr>
              <w:br/>
            </w:r>
            <w:r w:rsidRPr="009B128F">
              <w:rPr>
                <w:rFonts w:ascii="Times New Roman" w:hAnsi="Times New Roman"/>
                <w:szCs w:val="24"/>
              </w:rPr>
              <w:br/>
              <w:t xml:space="preserve">ANY PERSON REQUIRING SPECIAL ACCOMMODATIONS SHALL NOTIFY FACILITY PLANNING AND CONTROL OF THE TYPE(S) OF ACCOMMODATION REQUIRED NOT LESS THAT SEVEN (7) DAYS BEFORE THE SELECTION BOARD MEETING. </w:t>
            </w:r>
            <w:r w:rsidRPr="009B128F">
              <w:rPr>
                <w:rFonts w:ascii="Times New Roman" w:hAnsi="Times New Roman"/>
                <w:szCs w:val="24"/>
              </w:rPr>
              <w:br/>
            </w:r>
            <w:r w:rsidRPr="009B128F">
              <w:rPr>
                <w:rFonts w:ascii="Times New Roman" w:hAnsi="Times New Roman"/>
                <w:szCs w:val="24"/>
              </w:rPr>
              <w:br/>
              <w:t xml:space="preserve">Applications shall be delivered or mailed to : </w:t>
            </w:r>
            <w:r w:rsidRPr="009B128F">
              <w:rPr>
                <w:rFonts w:ascii="Times New Roman" w:hAnsi="Times New Roman"/>
                <w:szCs w:val="24"/>
              </w:rPr>
              <w:br/>
            </w:r>
            <w:r w:rsidRPr="009B128F">
              <w:rPr>
                <w:rFonts w:ascii="Times New Roman" w:hAnsi="Times New Roman"/>
                <w:szCs w:val="24"/>
              </w:rPr>
              <w:br/>
              <w:t xml:space="preserve">Applications shall be delivered or mailed or emailed to : </w:t>
            </w:r>
            <w:r w:rsidRPr="009B128F">
              <w:rPr>
                <w:rFonts w:ascii="Times New Roman" w:hAnsi="Times New Roman"/>
                <w:szCs w:val="24"/>
              </w:rPr>
              <w:br/>
            </w:r>
            <w:r w:rsidRPr="009B128F">
              <w:rPr>
                <w:rFonts w:ascii="Times New Roman" w:hAnsi="Times New Roman"/>
                <w:b/>
                <w:bCs/>
                <w:szCs w:val="24"/>
              </w:rPr>
              <w:t xml:space="preserve">LOUISIANA ARCHITECTS SELECTION BOARD </w:t>
            </w:r>
            <w:r w:rsidRPr="009B128F">
              <w:rPr>
                <w:rFonts w:ascii="Times New Roman" w:hAnsi="Times New Roman"/>
                <w:b/>
                <w:bCs/>
                <w:szCs w:val="24"/>
              </w:rPr>
              <w:br/>
              <w:t>c/o FACILITY PLANNING AND CONTROL</w:t>
            </w:r>
            <w:r w:rsidRPr="009B128F">
              <w:rPr>
                <w:rFonts w:ascii="Times New Roman" w:hAnsi="Times New Roman"/>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9B128F" w:rsidRPr="009B128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b/>
                            <w:bCs/>
                            <w:szCs w:val="24"/>
                          </w:rPr>
                          <w:t>Deliver:</w:t>
                        </w:r>
                        <w:r w:rsidRPr="009B128F">
                          <w:rPr>
                            <w:rFonts w:ascii="Times New Roman" w:hAnsi="Times New Roman"/>
                            <w:b/>
                            <w:bCs/>
                            <w:szCs w:val="24"/>
                          </w:rPr>
                          <w:br/>
                          <w:t>1201 North Third Street</w:t>
                        </w:r>
                        <w:r w:rsidRPr="009B128F">
                          <w:rPr>
                            <w:rFonts w:ascii="Times New Roman" w:hAnsi="Times New Roman"/>
                            <w:b/>
                            <w:bCs/>
                            <w:szCs w:val="24"/>
                          </w:rPr>
                          <w:br/>
                          <w:t>Claiborne Office Building</w:t>
                        </w:r>
                        <w:r w:rsidRPr="009B128F">
                          <w:rPr>
                            <w:rFonts w:ascii="Times New Roman" w:hAnsi="Times New Roman"/>
                            <w:b/>
                            <w:bCs/>
                            <w:szCs w:val="24"/>
                          </w:rPr>
                          <w:br/>
                          <w:t>Seventh Floor, Suite 7-160</w:t>
                        </w:r>
                        <w:r w:rsidRPr="009B128F">
                          <w:rPr>
                            <w:rFonts w:ascii="Times New Roman" w:hAnsi="Times New Roman"/>
                            <w:b/>
                            <w:bCs/>
                            <w:szCs w:val="24"/>
                          </w:rPr>
                          <w:br/>
                          <w:t>Baton Rouge, LA 70802</w:t>
                        </w:r>
                      </w:p>
                    </w:tc>
                  </w:tr>
                </w:tbl>
                <w:p w:rsidR="009B128F" w:rsidRPr="009B128F" w:rsidRDefault="009B128F" w:rsidP="009B128F">
                  <w:pPr>
                    <w:rPr>
                      <w:rFonts w:ascii="Times New Roman" w:hAnsi="Times New Roman"/>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b/>
                            <w:bCs/>
                            <w:szCs w:val="24"/>
                          </w:rPr>
                          <w:t>Mail:</w:t>
                        </w:r>
                        <w:r w:rsidRPr="009B128F">
                          <w:rPr>
                            <w:rFonts w:ascii="Times New Roman" w:hAnsi="Times New Roman"/>
                            <w:b/>
                            <w:bCs/>
                            <w:szCs w:val="24"/>
                          </w:rPr>
                          <w:br/>
                          <w:t>Post Office Box 94095</w:t>
                        </w:r>
                        <w:r w:rsidRPr="009B128F">
                          <w:rPr>
                            <w:rFonts w:ascii="Times New Roman" w:hAnsi="Times New Roman"/>
                            <w:b/>
                            <w:bCs/>
                            <w:szCs w:val="24"/>
                          </w:rPr>
                          <w:br/>
                          <w:t>Baton Rouge, LA 70804-9095</w:t>
                        </w:r>
                      </w:p>
                    </w:tc>
                  </w:tr>
                  <w:tr w:rsidR="009B128F" w:rsidRPr="009B128F">
                    <w:trPr>
                      <w:tblCellSpacing w:w="15" w:type="dxa"/>
                    </w:trPr>
                    <w:tc>
                      <w:tcPr>
                        <w:tcW w:w="0" w:type="auto"/>
                        <w:vAlign w:val="center"/>
                        <w:hideMark/>
                      </w:tcPr>
                      <w:p w:rsidR="009B128F" w:rsidRPr="009B128F" w:rsidRDefault="009B128F" w:rsidP="009B128F">
                        <w:pPr>
                          <w:rPr>
                            <w:rFonts w:ascii="Times New Roman" w:hAnsi="Times New Roman"/>
                            <w:szCs w:val="24"/>
                          </w:rPr>
                        </w:pPr>
                        <w:r w:rsidRPr="009B128F">
                          <w:rPr>
                            <w:rFonts w:ascii="Times New Roman" w:hAnsi="Times New Roman"/>
                            <w:b/>
                            <w:bCs/>
                            <w:szCs w:val="24"/>
                          </w:rPr>
                          <w:t>E-Mail:</w:t>
                        </w:r>
                        <w:r w:rsidRPr="009B128F">
                          <w:rPr>
                            <w:rFonts w:ascii="Times New Roman" w:hAnsi="Times New Roman"/>
                            <w:b/>
                            <w:bCs/>
                            <w:szCs w:val="24"/>
                          </w:rPr>
                          <w:br/>
                          <w:t>selection.board@la.gov</w:t>
                        </w:r>
                      </w:p>
                    </w:tc>
                  </w:tr>
                </w:tbl>
                <w:p w:rsidR="009B128F" w:rsidRPr="009B128F" w:rsidRDefault="009B128F" w:rsidP="009B128F">
                  <w:pPr>
                    <w:rPr>
                      <w:rFonts w:ascii="Times New Roman" w:hAnsi="Times New Roman"/>
                      <w:szCs w:val="24"/>
                    </w:rPr>
                  </w:pPr>
                </w:p>
              </w:tc>
            </w:tr>
          </w:tbl>
          <w:p w:rsidR="009B128F" w:rsidRPr="009B128F" w:rsidRDefault="009B128F" w:rsidP="009B128F">
            <w:pPr>
              <w:jc w:val="both"/>
              <w:rPr>
                <w:rFonts w:ascii="Times New Roman" w:hAnsi="Times New Roman"/>
                <w:szCs w:val="24"/>
              </w:rPr>
            </w:pPr>
            <w:r w:rsidRPr="009B128F">
              <w:rPr>
                <w:rFonts w:ascii="Times New Roman" w:hAnsi="Times New Roman"/>
                <w:szCs w:val="24"/>
              </w:rPr>
              <w:br/>
            </w:r>
            <w:r w:rsidRPr="009B128F">
              <w:rPr>
                <w:rFonts w:ascii="Times New Roman" w:hAnsi="Times New Roman"/>
                <w:b/>
                <w:bCs/>
                <w:szCs w:val="24"/>
              </w:rPr>
              <w:t>Use this e-mail address for applications only. Do not send any other communications to this address.</w:t>
            </w:r>
            <w:r w:rsidRPr="009B128F">
              <w:rPr>
                <w:rFonts w:ascii="Times New Roman" w:hAnsi="Times New Roman"/>
                <w:szCs w:val="24"/>
              </w:rPr>
              <w:br/>
            </w:r>
            <w:r w:rsidRPr="009B128F">
              <w:rPr>
                <w:rFonts w:ascii="Times New Roman" w:hAnsi="Times New Roman"/>
                <w:szCs w:val="24"/>
              </w:rPr>
              <w:br/>
              <w:t xml:space="preserve">The tentative meeting date for the Louisiana Architectural Selection Board is </w:t>
            </w:r>
            <w:r w:rsidRPr="009B128F">
              <w:rPr>
                <w:rFonts w:ascii="Times New Roman" w:hAnsi="Times New Roman"/>
                <w:b/>
                <w:bCs/>
                <w:szCs w:val="24"/>
              </w:rPr>
              <w:t>Thursday, April 14, 2016 at 10:00 AM at Claiborne Building, 1201 N. Third Street, Room 1-155, Baton Rouge, Louisiana 70802.</w:t>
            </w:r>
            <w:r w:rsidRPr="009B128F">
              <w:rPr>
                <w:rFonts w:ascii="Times New Roman" w:hAnsi="Times New Roman"/>
                <w:szCs w:val="24"/>
              </w:rPr>
              <w:t xml:space="preserve"> </w:t>
            </w:r>
          </w:p>
        </w:tc>
      </w:tr>
    </w:tbl>
    <w:p w:rsidR="004D5637" w:rsidRPr="00EE16E9" w:rsidRDefault="004D5637" w:rsidP="009B128F">
      <w:pPr>
        <w:rPr>
          <w:rFonts w:ascii="Times New Roman" w:hAnsi="Times New Roman"/>
        </w:rPr>
      </w:pPr>
    </w:p>
    <w:sectPr w:rsidR="004D5637" w:rsidRPr="00EE16E9" w:rsidSect="009B128F">
      <w:pgSz w:w="12240" w:h="15840"/>
      <w:pgMar w:top="720"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B128F"/>
    <w:rsid w:val="00031708"/>
    <w:rsid w:val="004A6E0A"/>
    <w:rsid w:val="004D5637"/>
    <w:rsid w:val="00553335"/>
    <w:rsid w:val="009B128F"/>
    <w:rsid w:val="00A44B5D"/>
    <w:rsid w:val="00C37BC0"/>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6871C-D0B1-4324-89D2-D1EA445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paragraph" w:styleId="Heading2">
    <w:name w:val="heading 2"/>
    <w:basedOn w:val="Normal"/>
    <w:link w:val="Heading2Char"/>
    <w:uiPriority w:val="9"/>
    <w:qFormat/>
    <w:rsid w:val="009B128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28F"/>
    <w:rPr>
      <w:b/>
      <w:bCs/>
      <w:sz w:val="36"/>
      <w:szCs w:val="36"/>
    </w:rPr>
  </w:style>
  <w:style w:type="character" w:styleId="Hyperlink">
    <w:name w:val="Hyperlink"/>
    <w:basedOn w:val="DefaultParagraphFont"/>
    <w:uiPriority w:val="99"/>
    <w:semiHidden/>
    <w:unhideWhenUsed/>
    <w:rsid w:val="009B128F"/>
    <w:rPr>
      <w:color w:val="0000FF"/>
      <w:u w:val="single"/>
    </w:rPr>
  </w:style>
  <w:style w:type="character" w:styleId="Strong">
    <w:name w:val="Strong"/>
    <w:basedOn w:val="DefaultParagraphFont"/>
    <w:uiPriority w:val="22"/>
    <w:qFormat/>
    <w:rsid w:val="009B1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a.gov/Pages/ofp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25FE4A83.dotm</Template>
  <TotalTime>1</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1</cp:revision>
  <dcterms:created xsi:type="dcterms:W3CDTF">2016-03-14T19:00:00Z</dcterms:created>
  <dcterms:modified xsi:type="dcterms:W3CDTF">2016-03-14T19:01:00Z</dcterms:modified>
</cp:coreProperties>
</file>